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numId w:val="0"/>
        </w:numPr>
        <w:tabs>
          <w:tab w:val="left" w:pos="993"/>
        </w:tabs>
        <w:spacing w:line="360" w:lineRule="auto"/>
        <w:ind w:leftChars="200"/>
        <w:jc w:val="center"/>
        <w:rPr>
          <w:rFonts w:hint="eastAsia" w:ascii="宋体" w:eastAsiaTheme="minorEastAsia"/>
          <w:b/>
          <w:sz w:val="28"/>
          <w:szCs w:val="28"/>
          <w:lang w:eastAsia="zh-CN"/>
        </w:rPr>
      </w:pPr>
      <w:bookmarkStart w:id="0" w:name="_GoBack"/>
      <w:r>
        <w:rPr>
          <w:rFonts w:hint="eastAsia" w:ascii="宋体"/>
          <w:b/>
          <w:sz w:val="28"/>
          <w:szCs w:val="28"/>
          <w:lang w:eastAsia="zh-CN"/>
        </w:rPr>
        <w:t>修</w:t>
      </w:r>
      <w:r>
        <w:rPr>
          <w:rFonts w:hint="eastAsia" w:ascii="宋体"/>
          <w:b/>
          <w:sz w:val="28"/>
          <w:szCs w:val="28"/>
          <w:lang w:val="en-US" w:eastAsia="zh-CN"/>
        </w:rPr>
        <w:t xml:space="preserve"> </w:t>
      </w:r>
      <w:r>
        <w:rPr>
          <w:rFonts w:hint="eastAsia" w:ascii="宋体"/>
          <w:b/>
          <w:sz w:val="28"/>
          <w:szCs w:val="28"/>
          <w:lang w:eastAsia="zh-CN"/>
        </w:rPr>
        <w:t>改</w:t>
      </w:r>
      <w:r>
        <w:rPr>
          <w:rFonts w:hint="eastAsia" w:ascii="宋体"/>
          <w:b/>
          <w:sz w:val="28"/>
          <w:szCs w:val="28"/>
          <w:lang w:val="en-US" w:eastAsia="zh-CN"/>
        </w:rPr>
        <w:t xml:space="preserve"> </w:t>
      </w:r>
      <w:r>
        <w:rPr>
          <w:rFonts w:hint="eastAsia" w:ascii="宋体"/>
          <w:b/>
          <w:sz w:val="28"/>
          <w:szCs w:val="28"/>
          <w:lang w:eastAsia="zh-CN"/>
        </w:rPr>
        <w:t>说</w:t>
      </w:r>
      <w:r>
        <w:rPr>
          <w:rFonts w:hint="eastAsia" w:ascii="宋体"/>
          <w:b/>
          <w:sz w:val="28"/>
          <w:szCs w:val="28"/>
          <w:lang w:val="en-US" w:eastAsia="zh-CN"/>
        </w:rPr>
        <w:t xml:space="preserve"> </w:t>
      </w:r>
      <w:r>
        <w:rPr>
          <w:rFonts w:hint="eastAsia" w:ascii="宋体"/>
          <w:b/>
          <w:sz w:val="28"/>
          <w:szCs w:val="28"/>
          <w:lang w:eastAsia="zh-CN"/>
        </w:rPr>
        <w:t>明</w:t>
      </w:r>
    </w:p>
    <w:p>
      <w:pPr>
        <w:numPr>
          <w:ilvl w:val="0"/>
          <w:numId w:val="1"/>
        </w:numPr>
        <w:tabs>
          <w:tab w:val="left" w:pos="993"/>
        </w:tabs>
        <w:spacing w:line="360" w:lineRule="auto"/>
        <w:ind w:left="68" w:leftChars="0" w:firstLine="562" w:firstLineChars="0"/>
        <w:rPr>
          <w:rFonts w:ascii="宋体"/>
          <w:b/>
          <w:sz w:val="28"/>
          <w:szCs w:val="28"/>
        </w:rPr>
      </w:pPr>
      <w:r>
        <w:rPr>
          <w:rFonts w:hint="eastAsia" w:ascii="宋体"/>
          <w:b/>
          <w:sz w:val="28"/>
          <w:szCs w:val="28"/>
        </w:rPr>
        <w:t>强化项目由来及建设的必要性；完善项目依托码头泊位的可行性和环境合理性分析。</w:t>
      </w:r>
    </w:p>
    <w:p>
      <w:pPr>
        <w:numPr>
          <w:numId w:val="0"/>
        </w:numPr>
        <w:tabs>
          <w:tab w:val="left" w:pos="993"/>
        </w:tabs>
        <w:spacing w:line="360" w:lineRule="auto"/>
        <w:ind w:firstLine="560" w:firstLineChars="200"/>
        <w:rPr>
          <w:rFonts w:hint="eastAsia" w:ascii="宋体" w:eastAsiaTheme="minorEastAsia"/>
          <w:b w:val="0"/>
          <w:bCs/>
          <w:sz w:val="28"/>
          <w:szCs w:val="28"/>
          <w:lang w:eastAsia="zh-CN"/>
        </w:rPr>
      </w:pPr>
      <w:r>
        <w:rPr>
          <w:rFonts w:hint="eastAsia" w:ascii="宋体"/>
          <w:b w:val="0"/>
          <w:bCs/>
          <w:sz w:val="28"/>
          <w:szCs w:val="28"/>
          <w:lang w:eastAsia="zh-CN"/>
        </w:rPr>
        <w:t>修改说明：已</w:t>
      </w:r>
      <w:r>
        <w:rPr>
          <w:rFonts w:hint="eastAsia" w:ascii="宋体"/>
          <w:b w:val="0"/>
          <w:bCs/>
          <w:sz w:val="28"/>
          <w:szCs w:val="28"/>
        </w:rPr>
        <w:t>强化项目由来及建设的必要性；</w:t>
      </w:r>
      <w:r>
        <w:rPr>
          <w:rFonts w:hint="eastAsia" w:ascii="宋体"/>
          <w:b w:val="0"/>
          <w:bCs/>
          <w:sz w:val="28"/>
          <w:szCs w:val="28"/>
          <w:lang w:eastAsia="zh-CN"/>
        </w:rPr>
        <w:t>见</w:t>
      </w:r>
      <w:r>
        <w:rPr>
          <w:rFonts w:hint="eastAsia" w:ascii="宋体"/>
          <w:b w:val="0"/>
          <w:bCs/>
          <w:sz w:val="28"/>
          <w:szCs w:val="28"/>
          <w:lang w:val="en-US" w:eastAsia="zh-CN"/>
        </w:rPr>
        <w:t>P10，</w:t>
      </w:r>
      <w:r>
        <w:rPr>
          <w:rFonts w:hint="eastAsia" w:ascii="宋体"/>
          <w:b w:val="0"/>
          <w:bCs/>
          <w:sz w:val="28"/>
          <w:szCs w:val="28"/>
          <w:lang w:eastAsia="zh-CN"/>
        </w:rPr>
        <w:t>已</w:t>
      </w:r>
      <w:r>
        <w:rPr>
          <w:rFonts w:hint="eastAsia" w:ascii="宋体"/>
          <w:b w:val="0"/>
          <w:bCs/>
          <w:sz w:val="28"/>
          <w:szCs w:val="28"/>
        </w:rPr>
        <w:t>完善项目依托码头泊位的可行性和环境合理性分析。</w:t>
      </w:r>
      <w:r>
        <w:rPr>
          <w:rFonts w:hint="eastAsia" w:ascii="宋体"/>
          <w:b w:val="0"/>
          <w:bCs/>
          <w:sz w:val="28"/>
          <w:szCs w:val="28"/>
          <w:lang w:eastAsia="zh-CN"/>
        </w:rPr>
        <w:t>见</w:t>
      </w:r>
      <w:r>
        <w:rPr>
          <w:rFonts w:hint="eastAsia" w:ascii="宋体"/>
          <w:b w:val="0"/>
          <w:bCs/>
          <w:sz w:val="28"/>
          <w:szCs w:val="28"/>
          <w:lang w:val="en-US" w:eastAsia="zh-CN"/>
        </w:rPr>
        <w:t>P6</w:t>
      </w:r>
    </w:p>
    <w:p>
      <w:pPr>
        <w:numPr>
          <w:ilvl w:val="0"/>
          <w:numId w:val="1"/>
        </w:numPr>
        <w:tabs>
          <w:tab w:val="left" w:pos="993"/>
        </w:tabs>
        <w:spacing w:line="360" w:lineRule="auto"/>
        <w:ind w:left="68" w:leftChars="0" w:firstLine="562" w:firstLineChars="0"/>
        <w:rPr>
          <w:rFonts w:ascii="宋体"/>
          <w:b/>
          <w:sz w:val="28"/>
          <w:szCs w:val="28"/>
        </w:rPr>
      </w:pPr>
      <w:r>
        <w:rPr>
          <w:rFonts w:hint="eastAsia" w:ascii="宋体"/>
          <w:b/>
          <w:sz w:val="28"/>
          <w:szCs w:val="28"/>
        </w:rPr>
        <w:t>完善现有项目风险防范、环境管理等存在的环境问题调查和“以新带老”措施。</w:t>
      </w:r>
    </w:p>
    <w:p>
      <w:pPr>
        <w:numPr>
          <w:ilvl w:val="0"/>
          <w:numId w:val="0"/>
        </w:numPr>
        <w:tabs>
          <w:tab w:val="left" w:pos="993"/>
        </w:tabs>
        <w:spacing w:line="360" w:lineRule="auto"/>
        <w:ind w:firstLine="560" w:firstLineChars="200"/>
        <w:rPr>
          <w:rFonts w:hint="default" w:ascii="宋体" w:eastAsiaTheme="minorEastAsia"/>
          <w:b/>
          <w:sz w:val="28"/>
          <w:szCs w:val="28"/>
          <w:lang w:val="en-US" w:eastAsia="zh-CN"/>
        </w:rPr>
      </w:pPr>
      <w:r>
        <w:rPr>
          <w:rFonts w:hint="eastAsia" w:ascii="宋体"/>
          <w:b w:val="0"/>
          <w:bCs/>
          <w:sz w:val="28"/>
          <w:szCs w:val="28"/>
          <w:lang w:eastAsia="zh-CN"/>
        </w:rPr>
        <w:t>修改说明：已</w:t>
      </w:r>
      <w:r>
        <w:rPr>
          <w:rFonts w:hint="eastAsia" w:ascii="宋体"/>
          <w:b w:val="0"/>
          <w:bCs/>
          <w:sz w:val="28"/>
          <w:szCs w:val="28"/>
        </w:rPr>
        <w:t>完善现有项目风险防范、环境管理等存在的环境问题调查和“以新带老”措施。</w:t>
      </w:r>
      <w:r>
        <w:rPr>
          <w:rFonts w:hint="eastAsia" w:ascii="宋体"/>
          <w:b w:val="0"/>
          <w:bCs/>
          <w:sz w:val="28"/>
          <w:szCs w:val="28"/>
          <w:lang w:eastAsia="zh-CN"/>
        </w:rPr>
        <w:t>见</w:t>
      </w:r>
      <w:r>
        <w:rPr>
          <w:rFonts w:hint="eastAsia" w:ascii="宋体"/>
          <w:b w:val="0"/>
          <w:bCs/>
          <w:sz w:val="28"/>
          <w:szCs w:val="28"/>
          <w:lang w:val="en-US" w:eastAsia="zh-CN"/>
        </w:rPr>
        <w:t>P27。</w:t>
      </w:r>
    </w:p>
    <w:p>
      <w:pPr>
        <w:numPr>
          <w:ilvl w:val="0"/>
          <w:numId w:val="1"/>
        </w:numPr>
        <w:tabs>
          <w:tab w:val="left" w:pos="993"/>
        </w:tabs>
        <w:spacing w:line="360" w:lineRule="auto"/>
        <w:ind w:left="68" w:leftChars="0" w:firstLine="562" w:firstLineChars="0"/>
        <w:rPr>
          <w:rFonts w:ascii="宋体"/>
          <w:b/>
          <w:sz w:val="28"/>
          <w:szCs w:val="28"/>
        </w:rPr>
      </w:pPr>
      <w:r>
        <w:rPr>
          <w:rFonts w:hint="eastAsia" w:ascii="宋体"/>
          <w:b/>
          <w:sz w:val="28"/>
          <w:szCs w:val="28"/>
        </w:rPr>
        <w:t>强化本项目设置交通艇等船舶的必要性；核实各船舶的功能、船舱容积和吨位；根据船仓容积及周转量，校核项目收集规模的合理性分析；细化项目收集作业点位置及操作和转运方式；校核项目收集作业时间；强化本项目对收集的含油废水再次进行油水分离的必要性及预处理后达标排放和依托相应污水厂的可行性分析。</w:t>
      </w:r>
    </w:p>
    <w:p>
      <w:pPr>
        <w:numPr>
          <w:numId w:val="0"/>
        </w:numPr>
        <w:tabs>
          <w:tab w:val="left" w:pos="993"/>
        </w:tabs>
        <w:spacing w:line="360" w:lineRule="auto"/>
        <w:ind w:firstLine="560" w:firstLineChars="200"/>
        <w:rPr>
          <w:rFonts w:hint="default" w:ascii="宋体" w:eastAsiaTheme="minorEastAsia"/>
          <w:b w:val="0"/>
          <w:bCs/>
          <w:sz w:val="28"/>
          <w:szCs w:val="28"/>
          <w:lang w:val="en-US" w:eastAsia="zh-CN"/>
        </w:rPr>
      </w:pPr>
      <w:r>
        <w:rPr>
          <w:rFonts w:hint="eastAsia" w:ascii="宋体"/>
          <w:b w:val="0"/>
          <w:bCs/>
          <w:sz w:val="28"/>
          <w:szCs w:val="28"/>
          <w:lang w:eastAsia="zh-CN"/>
        </w:rPr>
        <w:t>修改说明：已</w:t>
      </w:r>
      <w:r>
        <w:rPr>
          <w:rFonts w:hint="eastAsia" w:ascii="宋体"/>
          <w:b w:val="0"/>
          <w:bCs/>
          <w:sz w:val="28"/>
          <w:szCs w:val="28"/>
        </w:rPr>
        <w:t>强化本项目设置交通艇等船舶的必要性；</w:t>
      </w:r>
      <w:r>
        <w:rPr>
          <w:rFonts w:hint="eastAsia" w:ascii="宋体"/>
          <w:b w:val="0"/>
          <w:bCs/>
          <w:sz w:val="28"/>
          <w:szCs w:val="28"/>
          <w:lang w:eastAsia="zh-CN"/>
        </w:rPr>
        <w:t>已</w:t>
      </w:r>
      <w:r>
        <w:rPr>
          <w:rFonts w:hint="eastAsia" w:ascii="宋体"/>
          <w:b w:val="0"/>
          <w:bCs/>
          <w:sz w:val="28"/>
          <w:szCs w:val="28"/>
        </w:rPr>
        <w:t>核实各船舶的功能、船舱容积和吨位；</w:t>
      </w:r>
      <w:r>
        <w:rPr>
          <w:rFonts w:hint="eastAsia" w:ascii="宋体"/>
          <w:b w:val="0"/>
          <w:bCs/>
          <w:sz w:val="28"/>
          <w:szCs w:val="28"/>
          <w:lang w:eastAsia="zh-CN"/>
        </w:rPr>
        <w:t>见</w:t>
      </w:r>
      <w:r>
        <w:rPr>
          <w:rFonts w:hint="eastAsia" w:ascii="宋体"/>
          <w:b w:val="0"/>
          <w:bCs/>
          <w:sz w:val="28"/>
          <w:szCs w:val="28"/>
          <w:lang w:val="en-US" w:eastAsia="zh-CN"/>
        </w:rPr>
        <w:t>P12、P17，</w:t>
      </w:r>
      <w:r>
        <w:rPr>
          <w:rFonts w:hint="eastAsia" w:ascii="宋体"/>
          <w:b w:val="0"/>
          <w:bCs/>
          <w:sz w:val="28"/>
          <w:szCs w:val="28"/>
          <w:lang w:eastAsia="zh-CN"/>
        </w:rPr>
        <w:t>已</w:t>
      </w:r>
      <w:r>
        <w:rPr>
          <w:rFonts w:hint="eastAsia" w:ascii="宋体"/>
          <w:b w:val="0"/>
          <w:bCs/>
          <w:sz w:val="28"/>
          <w:szCs w:val="28"/>
        </w:rPr>
        <w:t>根据船仓容积及周转量，校核项目收集规模的合理性分析；</w:t>
      </w:r>
      <w:r>
        <w:rPr>
          <w:rFonts w:hint="eastAsia" w:ascii="宋体"/>
          <w:b w:val="0"/>
          <w:bCs/>
          <w:sz w:val="28"/>
          <w:szCs w:val="28"/>
          <w:lang w:eastAsia="zh-CN"/>
        </w:rPr>
        <w:t>见</w:t>
      </w:r>
      <w:r>
        <w:rPr>
          <w:rFonts w:hint="eastAsia" w:ascii="宋体"/>
          <w:b w:val="0"/>
          <w:bCs/>
          <w:sz w:val="28"/>
          <w:szCs w:val="28"/>
          <w:lang w:val="en-US" w:eastAsia="zh-CN"/>
        </w:rPr>
        <w:t>P19、P21，</w:t>
      </w:r>
      <w:r>
        <w:rPr>
          <w:rFonts w:hint="eastAsia" w:ascii="宋体"/>
          <w:b w:val="0"/>
          <w:bCs/>
          <w:sz w:val="28"/>
          <w:szCs w:val="28"/>
          <w:lang w:eastAsia="zh-CN"/>
        </w:rPr>
        <w:t>已</w:t>
      </w:r>
      <w:r>
        <w:rPr>
          <w:rFonts w:hint="eastAsia" w:ascii="宋体"/>
          <w:b w:val="0"/>
          <w:bCs/>
          <w:sz w:val="28"/>
          <w:szCs w:val="28"/>
        </w:rPr>
        <w:t>细化项目收集作业点位置及操作和转运方式；</w:t>
      </w:r>
      <w:r>
        <w:rPr>
          <w:rFonts w:hint="eastAsia" w:ascii="宋体"/>
          <w:b w:val="0"/>
          <w:bCs/>
          <w:sz w:val="28"/>
          <w:szCs w:val="28"/>
          <w:lang w:eastAsia="zh-CN"/>
        </w:rPr>
        <w:t>见</w:t>
      </w:r>
      <w:r>
        <w:rPr>
          <w:rFonts w:hint="eastAsia" w:ascii="宋体"/>
          <w:b w:val="0"/>
          <w:bCs/>
          <w:sz w:val="28"/>
          <w:szCs w:val="28"/>
          <w:lang w:val="en-US" w:eastAsia="zh-CN"/>
        </w:rPr>
        <w:t>P22-23，</w:t>
      </w:r>
      <w:r>
        <w:rPr>
          <w:rFonts w:hint="eastAsia" w:ascii="宋体"/>
          <w:b w:val="0"/>
          <w:bCs/>
          <w:sz w:val="28"/>
          <w:szCs w:val="28"/>
          <w:lang w:eastAsia="zh-CN"/>
        </w:rPr>
        <w:t>已</w:t>
      </w:r>
      <w:r>
        <w:rPr>
          <w:rFonts w:hint="eastAsia" w:ascii="宋体"/>
          <w:b w:val="0"/>
          <w:bCs/>
          <w:sz w:val="28"/>
          <w:szCs w:val="28"/>
        </w:rPr>
        <w:t>校核项目收集作业时间；</w:t>
      </w:r>
      <w:r>
        <w:rPr>
          <w:rFonts w:hint="eastAsia" w:ascii="宋体"/>
          <w:b w:val="0"/>
          <w:bCs/>
          <w:sz w:val="28"/>
          <w:szCs w:val="28"/>
          <w:lang w:eastAsia="zh-CN"/>
        </w:rPr>
        <w:t>见</w:t>
      </w:r>
      <w:r>
        <w:rPr>
          <w:rFonts w:hint="eastAsia" w:ascii="宋体"/>
          <w:b w:val="0"/>
          <w:bCs/>
          <w:sz w:val="28"/>
          <w:szCs w:val="28"/>
          <w:lang w:val="en-US" w:eastAsia="zh-CN"/>
        </w:rPr>
        <w:t>P21,</w:t>
      </w:r>
      <w:r>
        <w:rPr>
          <w:rFonts w:hint="eastAsia" w:ascii="宋体"/>
          <w:b w:val="0"/>
          <w:bCs/>
          <w:sz w:val="28"/>
          <w:szCs w:val="28"/>
          <w:lang w:eastAsia="zh-CN"/>
        </w:rPr>
        <w:t>已</w:t>
      </w:r>
      <w:r>
        <w:rPr>
          <w:rFonts w:hint="eastAsia" w:ascii="宋体"/>
          <w:b w:val="0"/>
          <w:bCs/>
          <w:sz w:val="28"/>
          <w:szCs w:val="28"/>
        </w:rPr>
        <w:t>强化本项目对收集的含油废水再次进行油水分离的必要性及预处理后达标排放和依托相应污水厂的可行性分析。</w:t>
      </w:r>
      <w:r>
        <w:rPr>
          <w:rFonts w:hint="eastAsia" w:ascii="宋体"/>
          <w:b w:val="0"/>
          <w:bCs/>
          <w:sz w:val="28"/>
          <w:szCs w:val="28"/>
          <w:lang w:eastAsia="zh-CN"/>
        </w:rPr>
        <w:t>见</w:t>
      </w:r>
      <w:r>
        <w:rPr>
          <w:rFonts w:hint="eastAsia" w:ascii="宋体"/>
          <w:b w:val="0"/>
          <w:bCs/>
          <w:sz w:val="28"/>
          <w:szCs w:val="28"/>
          <w:lang w:val="en-US" w:eastAsia="zh-CN"/>
        </w:rPr>
        <w:t>P42。</w:t>
      </w:r>
    </w:p>
    <w:p>
      <w:pPr>
        <w:numPr>
          <w:ilvl w:val="0"/>
          <w:numId w:val="1"/>
        </w:numPr>
        <w:tabs>
          <w:tab w:val="left" w:pos="993"/>
        </w:tabs>
        <w:spacing w:line="360" w:lineRule="auto"/>
        <w:ind w:left="68" w:leftChars="0" w:firstLine="562" w:firstLineChars="0"/>
        <w:rPr>
          <w:rFonts w:ascii="宋体"/>
          <w:b/>
          <w:sz w:val="28"/>
          <w:szCs w:val="28"/>
        </w:rPr>
      </w:pPr>
      <w:r>
        <w:rPr>
          <w:rFonts w:hint="eastAsia" w:ascii="宋体"/>
          <w:b/>
          <w:sz w:val="28"/>
          <w:szCs w:val="28"/>
        </w:rPr>
        <w:t>完善本项目收集范围涉及的东洞庭湖江豚自然保护区等敏感目标；校核各水域水环境功能；根据项目涉及的水域及生态敏感目标情况，完善地表水及生态环境现状评价。</w:t>
      </w:r>
    </w:p>
    <w:p>
      <w:pPr>
        <w:numPr>
          <w:numId w:val="0"/>
        </w:numPr>
        <w:tabs>
          <w:tab w:val="left" w:pos="993"/>
        </w:tabs>
        <w:spacing w:line="360" w:lineRule="auto"/>
        <w:ind w:firstLine="560" w:firstLineChars="200"/>
        <w:rPr>
          <w:rFonts w:hint="default" w:ascii="宋体" w:eastAsiaTheme="minorEastAsia"/>
          <w:b w:val="0"/>
          <w:bCs/>
          <w:sz w:val="28"/>
          <w:szCs w:val="28"/>
          <w:lang w:val="en-US" w:eastAsia="zh-CN"/>
        </w:rPr>
      </w:pPr>
      <w:r>
        <w:rPr>
          <w:rFonts w:hint="eastAsia" w:ascii="宋体"/>
          <w:b w:val="0"/>
          <w:bCs/>
          <w:sz w:val="28"/>
          <w:szCs w:val="28"/>
          <w:lang w:eastAsia="zh-CN"/>
        </w:rPr>
        <w:t>修改说明：已</w:t>
      </w:r>
      <w:r>
        <w:rPr>
          <w:rFonts w:hint="eastAsia" w:ascii="宋体"/>
          <w:b w:val="0"/>
          <w:bCs/>
          <w:sz w:val="28"/>
          <w:szCs w:val="28"/>
        </w:rPr>
        <w:t>完善本项目收集范围涉及的东洞庭湖江豚自然保护区等敏感目标；</w:t>
      </w:r>
      <w:r>
        <w:rPr>
          <w:rFonts w:hint="eastAsia" w:ascii="宋体"/>
          <w:b w:val="0"/>
          <w:bCs/>
          <w:sz w:val="28"/>
          <w:szCs w:val="28"/>
          <w:lang w:val="en-US" w:eastAsia="zh-CN"/>
        </w:rPr>
        <w:t>已</w:t>
      </w:r>
      <w:r>
        <w:rPr>
          <w:rFonts w:hint="eastAsia" w:ascii="宋体"/>
          <w:b w:val="0"/>
          <w:bCs/>
          <w:sz w:val="28"/>
          <w:szCs w:val="28"/>
        </w:rPr>
        <w:t>校核各水域水环境功能；</w:t>
      </w:r>
      <w:r>
        <w:rPr>
          <w:rFonts w:hint="eastAsia" w:ascii="宋体"/>
          <w:b w:val="0"/>
          <w:bCs/>
          <w:sz w:val="28"/>
          <w:szCs w:val="28"/>
          <w:lang w:eastAsia="zh-CN"/>
        </w:rPr>
        <w:t>见</w:t>
      </w:r>
      <w:r>
        <w:rPr>
          <w:rFonts w:hint="eastAsia" w:ascii="宋体"/>
          <w:b w:val="0"/>
          <w:bCs/>
          <w:sz w:val="28"/>
          <w:szCs w:val="28"/>
          <w:lang w:val="en-US" w:eastAsia="zh-CN"/>
        </w:rPr>
        <w:t>P35，</w:t>
      </w:r>
      <w:r>
        <w:rPr>
          <w:rFonts w:hint="eastAsia" w:ascii="宋体"/>
          <w:b w:val="0"/>
          <w:bCs/>
          <w:sz w:val="28"/>
          <w:szCs w:val="28"/>
        </w:rPr>
        <w:t>根据项目涉及的水域及生态敏感目标情况，完善地表水及生态环境现状评价。</w:t>
      </w:r>
      <w:r>
        <w:rPr>
          <w:rFonts w:hint="eastAsia" w:ascii="宋体"/>
          <w:b w:val="0"/>
          <w:bCs/>
          <w:sz w:val="28"/>
          <w:szCs w:val="28"/>
          <w:lang w:eastAsia="zh-CN"/>
        </w:rPr>
        <w:t>见</w:t>
      </w:r>
      <w:r>
        <w:rPr>
          <w:rFonts w:hint="eastAsia" w:ascii="宋体"/>
          <w:b w:val="0"/>
          <w:bCs/>
          <w:sz w:val="28"/>
          <w:szCs w:val="28"/>
          <w:lang w:val="en-US" w:eastAsia="zh-CN"/>
        </w:rPr>
        <w:t>P34。</w:t>
      </w:r>
    </w:p>
    <w:p>
      <w:pPr>
        <w:numPr>
          <w:ilvl w:val="0"/>
          <w:numId w:val="1"/>
        </w:numPr>
        <w:tabs>
          <w:tab w:val="left" w:pos="993"/>
        </w:tabs>
        <w:spacing w:line="360" w:lineRule="auto"/>
        <w:ind w:left="68" w:leftChars="0" w:firstLine="562" w:firstLineChars="0"/>
        <w:rPr>
          <w:rFonts w:ascii="宋体"/>
          <w:b/>
          <w:bCs w:val="0"/>
          <w:sz w:val="28"/>
          <w:szCs w:val="28"/>
        </w:rPr>
      </w:pPr>
      <w:r>
        <w:rPr>
          <w:rFonts w:hint="eastAsia" w:ascii="宋体"/>
          <w:b/>
          <w:bCs w:val="0"/>
          <w:sz w:val="28"/>
          <w:szCs w:val="28"/>
        </w:rPr>
        <w:t>根据项目涉及的敏感区情况，强化废油泄漏等环境风险应急措施、要求及应急物质，明确本项目应按要求编制急预案及定期演练。</w:t>
      </w:r>
    </w:p>
    <w:p>
      <w:pPr>
        <w:numPr>
          <w:numId w:val="0"/>
        </w:numPr>
        <w:tabs>
          <w:tab w:val="left" w:pos="993"/>
        </w:tabs>
        <w:spacing w:line="360" w:lineRule="auto"/>
        <w:ind w:firstLine="560" w:firstLineChars="200"/>
        <w:rPr>
          <w:rFonts w:hint="default" w:ascii="宋体" w:eastAsiaTheme="minorEastAsia"/>
          <w:b w:val="0"/>
          <w:bCs/>
          <w:sz w:val="28"/>
          <w:szCs w:val="28"/>
          <w:lang w:val="en-US" w:eastAsia="zh-CN"/>
        </w:rPr>
      </w:pPr>
      <w:r>
        <w:rPr>
          <w:rFonts w:hint="eastAsia" w:ascii="宋体"/>
          <w:b w:val="0"/>
          <w:bCs/>
          <w:sz w:val="28"/>
          <w:szCs w:val="28"/>
          <w:lang w:eastAsia="zh-CN"/>
        </w:rPr>
        <w:t>修改说明：已根据项目涉及的敏感区情况，强化废油泄漏等环境风险应急措施、要求及应急物质，明确本项目应按要求编制急预案及定期演练。见</w:t>
      </w:r>
      <w:r>
        <w:rPr>
          <w:rFonts w:hint="eastAsia" w:ascii="宋体"/>
          <w:b w:val="0"/>
          <w:bCs/>
          <w:sz w:val="28"/>
          <w:szCs w:val="28"/>
          <w:lang w:val="en-US" w:eastAsia="zh-CN"/>
        </w:rPr>
        <w:t>45-53。</w:t>
      </w:r>
    </w:p>
    <w:p>
      <w:pPr>
        <w:numPr>
          <w:ilvl w:val="0"/>
          <w:numId w:val="1"/>
        </w:numPr>
        <w:tabs>
          <w:tab w:val="left" w:pos="993"/>
        </w:tabs>
        <w:spacing w:line="360" w:lineRule="auto"/>
        <w:ind w:left="68" w:leftChars="0" w:firstLine="562" w:firstLineChars="0"/>
        <w:rPr>
          <w:b/>
          <w:bCs w:val="0"/>
          <w:sz w:val="28"/>
          <w:szCs w:val="28"/>
        </w:rPr>
      </w:pPr>
      <w:r>
        <w:rPr>
          <w:rFonts w:hint="eastAsia" w:ascii="宋体"/>
          <w:b/>
          <w:bCs w:val="0"/>
          <w:sz w:val="28"/>
          <w:szCs w:val="28"/>
        </w:rPr>
        <w:t>细化收集的废油危险废物代码；完善细化废油及污水、船舶垃圾等收集转运过程的环境管理和台账要求。</w:t>
      </w:r>
    </w:p>
    <w:p>
      <w:pPr>
        <w:numPr>
          <w:numId w:val="0"/>
        </w:numPr>
        <w:tabs>
          <w:tab w:val="left" w:pos="993"/>
        </w:tabs>
        <w:spacing w:line="360" w:lineRule="auto"/>
        <w:ind w:firstLine="560" w:firstLineChars="200"/>
        <w:rPr>
          <w:rFonts w:hint="default" w:eastAsiaTheme="minorEastAsia"/>
          <w:b w:val="0"/>
          <w:bCs/>
          <w:sz w:val="28"/>
          <w:szCs w:val="28"/>
          <w:lang w:val="en-US" w:eastAsia="zh-CN"/>
        </w:rPr>
      </w:pPr>
      <w:r>
        <w:rPr>
          <w:rFonts w:hint="eastAsia"/>
          <w:b w:val="0"/>
          <w:bCs/>
          <w:sz w:val="28"/>
          <w:szCs w:val="28"/>
          <w:lang w:eastAsia="zh-CN"/>
        </w:rPr>
        <w:t>修改说明：已细化收集的废油危险废物代码；见</w:t>
      </w:r>
      <w:r>
        <w:rPr>
          <w:rFonts w:hint="eastAsia"/>
          <w:b w:val="0"/>
          <w:bCs/>
          <w:sz w:val="28"/>
          <w:szCs w:val="28"/>
          <w:lang w:val="en-US" w:eastAsia="zh-CN"/>
        </w:rPr>
        <w:t>P43；已</w:t>
      </w:r>
      <w:r>
        <w:rPr>
          <w:rFonts w:hint="eastAsia"/>
          <w:b w:val="0"/>
          <w:bCs/>
          <w:sz w:val="28"/>
          <w:szCs w:val="28"/>
          <w:lang w:eastAsia="zh-CN"/>
        </w:rPr>
        <w:t>完善细化废油及污水、船舶垃圾等收集转运过程的环境管理和台账要求。见</w:t>
      </w:r>
      <w:r>
        <w:rPr>
          <w:rFonts w:hint="eastAsia"/>
          <w:b w:val="0"/>
          <w:bCs/>
          <w:sz w:val="28"/>
          <w:szCs w:val="28"/>
          <w:lang w:val="en-US" w:eastAsia="zh-CN"/>
        </w:rPr>
        <w:t>P54。</w:t>
      </w:r>
    </w:p>
    <w:p>
      <w:pPr>
        <w:numPr>
          <w:ilvl w:val="0"/>
          <w:numId w:val="1"/>
        </w:numPr>
        <w:tabs>
          <w:tab w:val="left" w:pos="993"/>
        </w:tabs>
        <w:spacing w:line="360" w:lineRule="auto"/>
        <w:ind w:left="68" w:leftChars="0" w:firstLine="562" w:firstLineChars="0"/>
        <w:rPr>
          <w:b/>
          <w:bCs w:val="0"/>
          <w:sz w:val="28"/>
          <w:szCs w:val="28"/>
        </w:rPr>
      </w:pPr>
      <w:r>
        <w:rPr>
          <w:rFonts w:hint="eastAsia" w:ascii="宋体"/>
          <w:b/>
          <w:bCs w:val="0"/>
          <w:sz w:val="28"/>
          <w:szCs w:val="28"/>
        </w:rPr>
        <w:t>完善“三线一单”的符合性分析；完善项目与自然保护区条例等要求的相符性分析，明确禁止在各保护区核心区、缓冲区内收集作业。</w:t>
      </w:r>
    </w:p>
    <w:p>
      <w:pPr>
        <w:numPr>
          <w:numId w:val="0"/>
        </w:numPr>
        <w:tabs>
          <w:tab w:val="left" w:pos="993"/>
        </w:tabs>
        <w:spacing w:line="360" w:lineRule="auto"/>
        <w:ind w:firstLine="560" w:firstLineChars="200"/>
        <w:rPr>
          <w:rFonts w:hint="eastAsia" w:eastAsiaTheme="minorEastAsia"/>
          <w:b w:val="0"/>
          <w:bCs/>
          <w:sz w:val="28"/>
          <w:szCs w:val="28"/>
          <w:lang w:eastAsia="zh-CN"/>
        </w:rPr>
      </w:pPr>
      <w:r>
        <w:rPr>
          <w:rFonts w:hint="eastAsia" w:ascii="宋体"/>
          <w:b w:val="0"/>
          <w:bCs/>
          <w:sz w:val="28"/>
          <w:szCs w:val="28"/>
          <w:lang w:eastAsia="zh-CN"/>
        </w:rPr>
        <w:t>修改说明：已完善“三线一单”的符合性分析；</w:t>
      </w:r>
      <w:r>
        <w:rPr>
          <w:rFonts w:hint="eastAsia" w:ascii="宋体"/>
          <w:b w:val="0"/>
          <w:bCs/>
          <w:sz w:val="28"/>
          <w:szCs w:val="28"/>
          <w:lang w:val="en-US" w:eastAsia="zh-CN"/>
        </w:rPr>
        <w:t>P3，已</w:t>
      </w:r>
      <w:r>
        <w:rPr>
          <w:rFonts w:hint="eastAsia" w:ascii="宋体"/>
          <w:b w:val="0"/>
          <w:bCs/>
          <w:sz w:val="28"/>
          <w:szCs w:val="28"/>
          <w:lang w:eastAsia="zh-CN"/>
        </w:rPr>
        <w:t>完善项目与自然保护区条例等要求的相符性分析，明确禁止在各保护区核心区、缓冲区内收集作业。见</w:t>
      </w:r>
      <w:r>
        <w:rPr>
          <w:rFonts w:hint="eastAsia" w:ascii="宋体"/>
          <w:b w:val="0"/>
          <w:bCs/>
          <w:sz w:val="28"/>
          <w:szCs w:val="28"/>
          <w:lang w:val="en-US" w:eastAsia="zh-CN"/>
        </w:rPr>
        <w:t>P4。</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C479B0"/>
    <w:multiLevelType w:val="multilevel"/>
    <w:tmpl w:val="6BC479B0"/>
    <w:lvl w:ilvl="0" w:tentative="0">
      <w:start w:val="1"/>
      <w:numFmt w:val="decimal"/>
      <w:lvlText w:val="%1、"/>
      <w:lvlJc w:val="left"/>
      <w:pPr>
        <w:ind w:left="630" w:hanging="420"/>
      </w:pPr>
      <w:rPr>
        <w:rFonts w:hint="default" w:ascii="Times New Roman" w:hAnsi="Times New Roman" w:eastAsia="宋体" w:cs="Times New Roman"/>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2F1CCC"/>
    <w:rsid w:val="5C2F1C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2021-11-22T02:06:00Z</dcterms:created>
  <dc:creator>影子、浅笑</dc:creator>
  <cp:lastModifiedBy>影子、浅笑</cp:lastModifiedBy>
  <dcterms:modified xsi:type="dcterms:W3CDTF">2021-11-22T03:18:50Z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3598A218683B4E389DD5C01D5CFDB52F</vt:lpwstr>
  </property>
</Properties>
</file>